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0A22D4">
        <w:rPr>
          <w:rFonts w:ascii="Arial" w:hAnsi="Arial" w:cs="Arial"/>
          <w:b/>
        </w:rPr>
        <w:t>Naselje Marka Marulića 6 i 6A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0A22D4">
        <w:rPr>
          <w:rFonts w:ascii="Arial" w:hAnsi="Arial" w:cs="Arial"/>
          <w:b/>
        </w:rPr>
        <w:t>826</w:t>
      </w:r>
      <w:r w:rsidR="00272E52">
        <w:rPr>
          <w:rFonts w:ascii="Arial" w:hAnsi="Arial" w:cs="Arial"/>
          <w:b/>
        </w:rPr>
        <w:t>,</w:t>
      </w:r>
      <w:r w:rsidR="000A22D4">
        <w:rPr>
          <w:rFonts w:ascii="Arial" w:hAnsi="Arial" w:cs="Arial"/>
          <w:b/>
        </w:rPr>
        <w:t>80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AA60B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predmet nabave pod točkom 2</w:t>
      </w:r>
      <w:r w:rsidR="003040DC" w:rsidRPr="00AA60B6">
        <w:rPr>
          <w:rFonts w:ascii="Arial" w:hAnsi="Arial" w:cs="Arial"/>
        </w:rPr>
        <w:t>.1.: glavni projekt energetske obnove (u pdf formatu nacrti; proračuni; skenirana, potpisana i ovjerena naslovnica); troškovnik sa cijenama i bez cijena (</w:t>
      </w:r>
      <w:proofErr w:type="spellStart"/>
      <w:r w:rsidR="003040DC" w:rsidRPr="00AA60B6">
        <w:rPr>
          <w:rFonts w:ascii="Arial" w:hAnsi="Arial" w:cs="Arial"/>
        </w:rPr>
        <w:t>xls</w:t>
      </w:r>
      <w:proofErr w:type="spellEnd"/>
      <w:r w:rsidR="003040DC"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0A22D4" w:rsidRDefault="000A22D4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0A22D4" w:rsidRDefault="000A22D4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r w:rsidR="000A22D4">
        <w:rPr>
          <w:rFonts w:ascii="Arial" w:eastAsia="Times New Roman" w:hAnsi="Arial" w:cs="Arial"/>
          <w:lang w:val="en-US"/>
        </w:rPr>
        <w:t>40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0A22D4" w:rsidRDefault="000A22D4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0A22D4" w:rsidRDefault="000A22D4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0A22D4" w:rsidRPr="00AA60B6" w:rsidRDefault="000A22D4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bookmarkStart w:id="0" w:name="_GoBack"/>
      <w:bookmarkEnd w:id="0"/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A22D4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1</w:t>
      </w:r>
      <w:r w:rsidR="000A22D4">
        <w:rPr>
          <w:rFonts w:ascii="Arial" w:hAnsi="Arial" w:cs="Arial"/>
          <w:b/>
        </w:rPr>
        <w:t>1</w:t>
      </w:r>
      <w:r w:rsidR="000679B0" w:rsidRPr="000679B0">
        <w:rPr>
          <w:rFonts w:ascii="Arial" w:hAnsi="Arial" w:cs="Arial"/>
          <w:b/>
        </w:rPr>
        <w:t>.</w:t>
      </w:r>
      <w:r w:rsidR="000A22D4">
        <w:rPr>
          <w:rFonts w:ascii="Arial" w:hAnsi="Arial" w:cs="Arial"/>
          <w:b/>
        </w:rPr>
        <w:t>10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93EB0" w:rsidRDefault="00793EB0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93EB0" w:rsidRPr="00793EB0" w:rsidRDefault="00793EB0" w:rsidP="00AA60B6">
      <w:pPr>
        <w:spacing w:after="0"/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 xml:space="preserve">Karlovac, </w:t>
      </w:r>
      <w:r w:rsidR="000A22D4">
        <w:rPr>
          <w:rFonts w:ascii="Arial" w:hAnsi="Arial" w:cs="Arial"/>
        </w:rPr>
        <w:t>26.09</w:t>
      </w:r>
      <w:r w:rsidRPr="00793EB0">
        <w:rPr>
          <w:rFonts w:ascii="Arial" w:hAnsi="Arial" w:cs="Arial"/>
        </w:rPr>
        <w:t>.2019.</w:t>
      </w:r>
    </w:p>
    <w:sectPr w:rsidR="00793EB0" w:rsidRPr="00793EB0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44" w:rsidRDefault="00C90A44" w:rsidP="005A4743">
      <w:pPr>
        <w:spacing w:after="0" w:line="240" w:lineRule="auto"/>
      </w:pPr>
      <w:r>
        <w:separator/>
      </w:r>
    </w:p>
  </w:endnote>
  <w:endnote w:type="continuationSeparator" w:id="0">
    <w:p w:rsidR="00C90A44" w:rsidRDefault="00C90A44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44" w:rsidRDefault="00C90A44" w:rsidP="005A4743">
      <w:pPr>
        <w:spacing w:after="0" w:line="240" w:lineRule="auto"/>
      </w:pPr>
      <w:r>
        <w:separator/>
      </w:r>
    </w:p>
  </w:footnote>
  <w:footnote w:type="continuationSeparator" w:id="0">
    <w:p w:rsidR="00C90A44" w:rsidRDefault="00C90A44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A22D4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2E52"/>
    <w:rsid w:val="0027411F"/>
    <w:rsid w:val="0028259D"/>
    <w:rsid w:val="00282BBC"/>
    <w:rsid w:val="003040DC"/>
    <w:rsid w:val="0037061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93EB0"/>
    <w:rsid w:val="007C7E97"/>
    <w:rsid w:val="00810716"/>
    <w:rsid w:val="00811529"/>
    <w:rsid w:val="00840E24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BB39FA"/>
    <w:rsid w:val="00C2177C"/>
    <w:rsid w:val="00C27BCE"/>
    <w:rsid w:val="00C3271F"/>
    <w:rsid w:val="00C467A0"/>
    <w:rsid w:val="00C90A44"/>
    <w:rsid w:val="00CA2705"/>
    <w:rsid w:val="00CA3CF6"/>
    <w:rsid w:val="00CB6E15"/>
    <w:rsid w:val="00CB7FFC"/>
    <w:rsid w:val="00D344E2"/>
    <w:rsid w:val="00D4088B"/>
    <w:rsid w:val="00D6751F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B868-5759-4548-8363-2CBCD01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2019-09-26T11:15:00Z</dcterms:created>
  <dcterms:modified xsi:type="dcterms:W3CDTF">2019-09-26T11:15:00Z</dcterms:modified>
</cp:coreProperties>
</file>